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3F2A8" w14:textId="77777777" w:rsidR="004E43EE" w:rsidRPr="00FC0B7D" w:rsidRDefault="004E43EE" w:rsidP="004E43EE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4EA0D765" w14:textId="77777777" w:rsidR="004E43EE" w:rsidRPr="00FC0B7D" w:rsidRDefault="004E43EE" w:rsidP="004E4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0B7418A8" w14:textId="77777777" w:rsidR="004E43EE" w:rsidRPr="00015C08" w:rsidRDefault="004E43EE" w:rsidP="004E43EE">
      <w:pPr>
        <w:jc w:val="center"/>
        <w:rPr>
          <w:b/>
        </w:rPr>
      </w:pPr>
    </w:p>
    <w:p w14:paraId="7FE2AC22" w14:textId="77777777" w:rsidR="004E43EE" w:rsidRPr="00015C08" w:rsidRDefault="004E43EE" w:rsidP="004E4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35F2A304" w14:textId="77777777" w:rsidR="004E43EE" w:rsidRPr="00015C08" w:rsidRDefault="004E43EE" w:rsidP="004E43EE">
      <w:pPr>
        <w:jc w:val="center"/>
        <w:rPr>
          <w:sz w:val="28"/>
          <w:szCs w:val="28"/>
        </w:rPr>
      </w:pPr>
    </w:p>
    <w:p w14:paraId="3864A44C" w14:textId="77777777" w:rsidR="004E43EE" w:rsidRDefault="004E43EE" w:rsidP="004E43EE"/>
    <w:p w14:paraId="07FFDB45" w14:textId="50EA70C5" w:rsidR="004E43EE" w:rsidRDefault="00C54BFF" w:rsidP="004E43EE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 w:rsidR="00E0254E">
        <w:rPr>
          <w:sz w:val="28"/>
          <w:szCs w:val="28"/>
        </w:rPr>
        <w:t xml:space="preserve"> июня </w:t>
      </w:r>
      <w:r w:rsidR="00F14062">
        <w:rPr>
          <w:sz w:val="28"/>
          <w:szCs w:val="28"/>
        </w:rPr>
        <w:t>2024</w:t>
      </w:r>
      <w:r w:rsidR="004E43EE" w:rsidRPr="00E0254E">
        <w:rPr>
          <w:sz w:val="28"/>
          <w:szCs w:val="28"/>
        </w:rPr>
        <w:t xml:space="preserve"> года                                                            </w:t>
      </w:r>
      <w:r w:rsidR="00F14062">
        <w:rPr>
          <w:sz w:val="28"/>
          <w:szCs w:val="28"/>
        </w:rPr>
        <w:t xml:space="preserve">                             № 49</w:t>
      </w:r>
      <w:r w:rsidR="004E43EE" w:rsidRPr="00E0254E">
        <w:rPr>
          <w:sz w:val="28"/>
          <w:szCs w:val="28"/>
        </w:rPr>
        <w:t>-</w:t>
      </w:r>
      <w:r w:rsidR="00E0254E" w:rsidRPr="00E0254E">
        <w:rPr>
          <w:sz w:val="28"/>
          <w:szCs w:val="28"/>
        </w:rPr>
        <w:t>4</w:t>
      </w:r>
    </w:p>
    <w:p w14:paraId="7D8B8981" w14:textId="77777777" w:rsidR="004E43EE" w:rsidRDefault="004E43EE" w:rsidP="004E43EE">
      <w:pPr>
        <w:spacing w:line="276" w:lineRule="auto"/>
        <w:rPr>
          <w:b/>
          <w:sz w:val="28"/>
          <w:szCs w:val="28"/>
        </w:rPr>
      </w:pPr>
    </w:p>
    <w:p w14:paraId="00C121FD" w14:textId="10295CE9" w:rsidR="004E43EE" w:rsidRPr="004E43EE" w:rsidRDefault="004E43EE" w:rsidP="004E43EE">
      <w:pPr>
        <w:widowControl w:val="0"/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  <w:proofErr w:type="gramStart"/>
      <w:r w:rsidRPr="004E43EE">
        <w:rPr>
          <w:b/>
          <w:sz w:val="28"/>
          <w:szCs w:val="28"/>
        </w:rPr>
        <w:t>Об установлении времени предоставления по заявке зарегистрированного канди</w:t>
      </w:r>
      <w:r w:rsidR="00B7169E">
        <w:rPr>
          <w:b/>
          <w:sz w:val="28"/>
          <w:szCs w:val="28"/>
        </w:rPr>
        <w:t>дата, политической партии</w:t>
      </w:r>
      <w:r w:rsidR="002D7DB3">
        <w:rPr>
          <w:b/>
          <w:sz w:val="28"/>
          <w:szCs w:val="28"/>
        </w:rPr>
        <w:t>, зарегистрировавшей</w:t>
      </w:r>
      <w:r w:rsidRPr="004E43EE">
        <w:rPr>
          <w:b/>
          <w:sz w:val="28"/>
          <w:szCs w:val="28"/>
        </w:rPr>
        <w:t xml:space="preserve"> список кандидатов, помещения, пригодного для проведения агитационных публичных мероприятий в форме собраний и нах</w:t>
      </w:r>
      <w:r w:rsidR="006A18E1">
        <w:rPr>
          <w:b/>
          <w:sz w:val="28"/>
          <w:szCs w:val="28"/>
        </w:rPr>
        <w:t xml:space="preserve">одящегося в государственной и </w:t>
      </w:r>
      <w:r w:rsidRPr="004E43EE">
        <w:rPr>
          <w:b/>
          <w:sz w:val="28"/>
          <w:szCs w:val="28"/>
        </w:rPr>
        <w:t>муниципальной собственности, собственниками, владельцами помещений зарегистрированному кандидату,</w:t>
      </w:r>
      <w:r w:rsidR="002D7DB3">
        <w:rPr>
          <w:b/>
          <w:sz w:val="28"/>
          <w:szCs w:val="28"/>
        </w:rPr>
        <w:t xml:space="preserve"> его доверенным лицам, представителям политической партии</w:t>
      </w:r>
      <w:r w:rsidRPr="004E43EE">
        <w:rPr>
          <w:b/>
          <w:sz w:val="28"/>
          <w:szCs w:val="28"/>
        </w:rPr>
        <w:t xml:space="preserve"> для встреч с избирателями на выборах депутатов</w:t>
      </w:r>
      <w:r w:rsidR="00F14062">
        <w:rPr>
          <w:b/>
          <w:sz w:val="28"/>
          <w:szCs w:val="28"/>
        </w:rPr>
        <w:t xml:space="preserve"> Тульской городской Думы седьмого</w:t>
      </w:r>
      <w:r w:rsidRPr="004E43EE">
        <w:rPr>
          <w:b/>
          <w:sz w:val="28"/>
          <w:szCs w:val="28"/>
        </w:rPr>
        <w:t xml:space="preserve"> созыва</w:t>
      </w:r>
      <w:proofErr w:type="gramEnd"/>
    </w:p>
    <w:p w14:paraId="0FA43569" w14:textId="77777777" w:rsidR="004E43EE" w:rsidRPr="00336305" w:rsidRDefault="004E43EE" w:rsidP="004E43EE">
      <w:pPr>
        <w:tabs>
          <w:tab w:val="left" w:pos="1197"/>
          <w:tab w:val="left" w:pos="1234"/>
        </w:tabs>
        <w:jc w:val="both"/>
        <w:rPr>
          <w:sz w:val="28"/>
          <w:szCs w:val="28"/>
        </w:rPr>
      </w:pPr>
    </w:p>
    <w:p w14:paraId="29A1C800" w14:textId="5AB0C4D9" w:rsidR="004E43EE" w:rsidRPr="004E43EE" w:rsidRDefault="004E43EE" w:rsidP="007B12BC">
      <w:pPr>
        <w:pStyle w:val="a4"/>
        <w:spacing w:after="0"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4E43EE">
        <w:rPr>
          <w:sz w:val="28"/>
          <w:szCs w:val="28"/>
        </w:rPr>
        <w:t>В целях обеспечения равных условий при проведении предвыборной агитации посредством агитационных публичных мероприятий для</w:t>
      </w:r>
      <w:r w:rsidR="002D7DB3">
        <w:rPr>
          <w:sz w:val="28"/>
          <w:szCs w:val="28"/>
        </w:rPr>
        <w:t xml:space="preserve"> всех  политических партий, </w:t>
      </w:r>
      <w:r w:rsidRPr="004E43EE">
        <w:rPr>
          <w:sz w:val="28"/>
          <w:szCs w:val="28"/>
        </w:rPr>
        <w:t xml:space="preserve"> зарегистрировавших списки кандидатов, для всех зарегистрированных кандидатов на выборах депутатов</w:t>
      </w:r>
      <w:r w:rsidR="00F14062">
        <w:rPr>
          <w:sz w:val="28"/>
          <w:szCs w:val="28"/>
        </w:rPr>
        <w:t xml:space="preserve"> Тульской городской Думы седьмого</w:t>
      </w:r>
      <w:r w:rsidRPr="004E43EE">
        <w:rPr>
          <w:sz w:val="28"/>
          <w:szCs w:val="28"/>
        </w:rPr>
        <w:t xml:space="preserve"> созыва, руководствуясь п. 3 ст.53 Федерального закона от 12.06.2002 № 67-ФЗ «Об основных гарантиях избирательных прав и права на участие в референдуме граждан Российской Федерации», ч.7, ст. 25</w:t>
      </w:r>
      <w:proofErr w:type="gramEnd"/>
      <w:r w:rsidRPr="004E43EE">
        <w:rPr>
          <w:sz w:val="28"/>
          <w:szCs w:val="28"/>
        </w:rPr>
        <w:t xml:space="preserve"> Закона Тульской области от 08.07.2008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 территориальная избирательная комиссия Зареченского района города Тулы </w:t>
      </w:r>
      <w:r w:rsidRPr="004E43EE">
        <w:rPr>
          <w:b/>
          <w:sz w:val="28"/>
          <w:szCs w:val="28"/>
        </w:rPr>
        <w:t>постановляет</w:t>
      </w:r>
      <w:r w:rsidRPr="004E43EE">
        <w:rPr>
          <w:sz w:val="28"/>
          <w:szCs w:val="28"/>
        </w:rPr>
        <w:t>:</w:t>
      </w:r>
    </w:p>
    <w:p w14:paraId="7DB9AA62" w14:textId="1A8E8D15" w:rsidR="004E43EE" w:rsidRDefault="004E43EE" w:rsidP="007B12BC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43EE">
        <w:rPr>
          <w:rFonts w:ascii="Times New Roman" w:hAnsi="Times New Roman"/>
          <w:sz w:val="28"/>
          <w:szCs w:val="28"/>
        </w:rPr>
        <w:t>Установить, что по заявке зарегистрированного канди</w:t>
      </w:r>
      <w:r w:rsidR="002D7DB3">
        <w:rPr>
          <w:rFonts w:ascii="Times New Roman" w:hAnsi="Times New Roman"/>
          <w:sz w:val="28"/>
          <w:szCs w:val="28"/>
        </w:rPr>
        <w:t>дата, политической партии, зарегистрировавшей</w:t>
      </w:r>
      <w:r w:rsidRPr="004E43EE">
        <w:rPr>
          <w:rFonts w:ascii="Times New Roman" w:hAnsi="Times New Roman"/>
          <w:sz w:val="28"/>
          <w:szCs w:val="28"/>
        </w:rPr>
        <w:t xml:space="preserve"> список кандидатов, помещение, пригодное для проведения агитационных публичных мероприятий в форме собраний и на</w:t>
      </w:r>
      <w:r w:rsidR="006A18E1">
        <w:rPr>
          <w:rFonts w:ascii="Times New Roman" w:hAnsi="Times New Roman"/>
          <w:sz w:val="28"/>
          <w:szCs w:val="28"/>
        </w:rPr>
        <w:t>ходящееся в  государственной и</w:t>
      </w:r>
      <w:r w:rsidRPr="004E43EE">
        <w:rPr>
          <w:rFonts w:ascii="Times New Roman" w:hAnsi="Times New Roman"/>
          <w:sz w:val="28"/>
          <w:szCs w:val="28"/>
        </w:rPr>
        <w:t xml:space="preserve"> муниципальной собственности, предоставляется собственником, владельцем помещения зарегистрированному кандидату, его доверенным лицам, представи</w:t>
      </w:r>
      <w:r w:rsidR="002D7DB3">
        <w:rPr>
          <w:rFonts w:ascii="Times New Roman" w:hAnsi="Times New Roman"/>
          <w:sz w:val="28"/>
          <w:szCs w:val="28"/>
        </w:rPr>
        <w:t>телям политических партий</w:t>
      </w:r>
      <w:r w:rsidRPr="004E43EE">
        <w:rPr>
          <w:rFonts w:ascii="Times New Roman" w:hAnsi="Times New Roman"/>
          <w:sz w:val="28"/>
          <w:szCs w:val="28"/>
        </w:rPr>
        <w:t xml:space="preserve"> для встреч с избирателями на выборах депутатов</w:t>
      </w:r>
      <w:r w:rsidR="00F14062">
        <w:rPr>
          <w:rFonts w:ascii="Times New Roman" w:hAnsi="Times New Roman"/>
          <w:sz w:val="28"/>
          <w:szCs w:val="28"/>
        </w:rPr>
        <w:t xml:space="preserve"> Тульской городской Думы седьмого</w:t>
      </w:r>
      <w:r w:rsidRPr="004E43EE">
        <w:rPr>
          <w:rFonts w:ascii="Times New Roman" w:hAnsi="Times New Roman"/>
          <w:sz w:val="28"/>
          <w:szCs w:val="28"/>
        </w:rPr>
        <w:t xml:space="preserve"> созыва на период времени, не превышающий 2 (двух) часов.</w:t>
      </w:r>
      <w:proofErr w:type="gramEnd"/>
    </w:p>
    <w:p w14:paraId="5B6B2D93" w14:textId="77777777" w:rsidR="006615E0" w:rsidRDefault="006615E0" w:rsidP="006615E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1D994A" w14:textId="77777777" w:rsidR="006615E0" w:rsidRDefault="006615E0" w:rsidP="006615E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8E7983" w14:textId="77777777" w:rsidR="006615E0" w:rsidRPr="006615E0" w:rsidRDefault="006615E0" w:rsidP="006615E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CA734D" w14:textId="2A517D9D" w:rsidR="004E43EE" w:rsidRPr="004E43EE" w:rsidRDefault="004E43EE" w:rsidP="007B12BC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43EE">
        <w:rPr>
          <w:rFonts w:ascii="Times New Roman" w:hAnsi="Times New Roman"/>
          <w:sz w:val="28"/>
          <w:szCs w:val="28"/>
        </w:rPr>
        <w:lastRenderedPageBreak/>
        <w:t xml:space="preserve">Утвердить форму для размещения территориальной избирательной комиссией </w:t>
      </w:r>
      <w:r>
        <w:rPr>
          <w:rFonts w:ascii="Times New Roman" w:hAnsi="Times New Roman"/>
          <w:sz w:val="28"/>
          <w:szCs w:val="28"/>
        </w:rPr>
        <w:t>Зареченского</w:t>
      </w:r>
      <w:r w:rsidRPr="004E43EE">
        <w:rPr>
          <w:rFonts w:ascii="Times New Roman" w:hAnsi="Times New Roman"/>
          <w:sz w:val="28"/>
          <w:szCs w:val="28"/>
        </w:rPr>
        <w:t xml:space="preserve">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4E43EE">
        <w:rPr>
          <w:rFonts w:ascii="Times New Roman" w:hAnsi="Times New Roman"/>
          <w:sz w:val="28"/>
          <w:szCs w:val="28"/>
        </w:rPr>
        <w:t xml:space="preserve"> Тулы сведений о предоставлении помещения, на</w:t>
      </w:r>
      <w:r w:rsidR="006A18E1">
        <w:rPr>
          <w:rFonts w:ascii="Times New Roman" w:hAnsi="Times New Roman"/>
          <w:sz w:val="28"/>
          <w:szCs w:val="28"/>
        </w:rPr>
        <w:t>ходящегося в государственной и</w:t>
      </w:r>
      <w:r w:rsidRPr="004E43EE">
        <w:rPr>
          <w:rFonts w:ascii="Times New Roman" w:hAnsi="Times New Roman"/>
          <w:sz w:val="28"/>
          <w:szCs w:val="28"/>
        </w:rPr>
        <w:t xml:space="preserve"> муниципальной собственности, для проведения агитационных публичных мероприятий зарегистрированным кандидатам, их доверенным л</w:t>
      </w:r>
      <w:r w:rsidR="002D7DB3">
        <w:rPr>
          <w:rFonts w:ascii="Times New Roman" w:hAnsi="Times New Roman"/>
          <w:sz w:val="28"/>
          <w:szCs w:val="28"/>
        </w:rPr>
        <w:t>ицам, политическим партиям</w:t>
      </w:r>
      <w:r w:rsidRPr="004E43EE">
        <w:rPr>
          <w:rFonts w:ascii="Times New Roman" w:hAnsi="Times New Roman"/>
          <w:sz w:val="28"/>
          <w:szCs w:val="28"/>
        </w:rPr>
        <w:t>, зарегистрировавшим список кандидатов, для доведения до сведения других зарегистрированных кандид</w:t>
      </w:r>
      <w:r w:rsidR="002D7DB3">
        <w:rPr>
          <w:rFonts w:ascii="Times New Roman" w:hAnsi="Times New Roman"/>
          <w:sz w:val="28"/>
          <w:szCs w:val="28"/>
        </w:rPr>
        <w:t xml:space="preserve">атов, политических партий </w:t>
      </w:r>
      <w:r w:rsidRPr="004E43EE">
        <w:rPr>
          <w:rFonts w:ascii="Times New Roman" w:hAnsi="Times New Roman"/>
          <w:sz w:val="28"/>
          <w:szCs w:val="28"/>
        </w:rPr>
        <w:t>(п</w:t>
      </w:r>
      <w:r w:rsidR="002D7DB3">
        <w:rPr>
          <w:rFonts w:ascii="Times New Roman" w:hAnsi="Times New Roman"/>
          <w:sz w:val="28"/>
          <w:szCs w:val="28"/>
        </w:rPr>
        <w:t>риложение</w:t>
      </w:r>
      <w:r w:rsidRPr="004E43EE">
        <w:rPr>
          <w:rFonts w:ascii="Times New Roman" w:hAnsi="Times New Roman"/>
          <w:sz w:val="28"/>
          <w:szCs w:val="28"/>
        </w:rPr>
        <w:t>).</w:t>
      </w:r>
    </w:p>
    <w:p w14:paraId="0460A5F9" w14:textId="745CB4CC" w:rsidR="004E43EE" w:rsidRDefault="00F14062" w:rsidP="007B12BC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D7DB3">
        <w:rPr>
          <w:sz w:val="28"/>
          <w:szCs w:val="28"/>
        </w:rPr>
        <w:t xml:space="preserve"> Опубликовать</w:t>
      </w:r>
      <w:r w:rsidRPr="00F14062">
        <w:rPr>
          <w:sz w:val="28"/>
          <w:szCs w:val="28"/>
        </w:rPr>
        <w:t xml:space="preserve"> настоящее постановление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6" w:history="1">
        <w:r w:rsidR="002D7DB3" w:rsidRPr="0073492E">
          <w:rPr>
            <w:rStyle w:val="a9"/>
            <w:sz w:val="28"/>
            <w:szCs w:val="28"/>
          </w:rPr>
          <w:t>http://www.npatula-city.ru</w:t>
        </w:r>
      </w:hyperlink>
      <w:r w:rsidRPr="00F14062">
        <w:rPr>
          <w:sz w:val="28"/>
          <w:szCs w:val="28"/>
        </w:rPr>
        <w:t>.</w:t>
      </w:r>
    </w:p>
    <w:p w14:paraId="3B7A7F5C" w14:textId="77777777" w:rsidR="002D7DB3" w:rsidRDefault="002D7DB3" w:rsidP="007B12BC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0ACBF4A3" w14:textId="77777777" w:rsidR="004E43EE" w:rsidRPr="00316C72" w:rsidRDefault="004E43EE" w:rsidP="007B12BC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D74C703" w14:textId="37B3D67E" w:rsidR="004E43EE" w:rsidRPr="00316C72" w:rsidRDefault="004E43EE" w:rsidP="004E43EE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           </w:t>
      </w:r>
      <w:r w:rsidR="00F14062">
        <w:rPr>
          <w:sz w:val="28"/>
          <w:szCs w:val="28"/>
        </w:rPr>
        <w:t xml:space="preserve">              С.С. Машкова</w:t>
      </w:r>
    </w:p>
    <w:p w14:paraId="1403A7F7" w14:textId="77777777" w:rsidR="004E43EE" w:rsidRDefault="004E43EE" w:rsidP="004E43EE">
      <w:pPr>
        <w:spacing w:line="276" w:lineRule="auto"/>
        <w:rPr>
          <w:sz w:val="28"/>
          <w:szCs w:val="28"/>
        </w:rPr>
      </w:pPr>
    </w:p>
    <w:p w14:paraId="6B4F7B74" w14:textId="77777777" w:rsidR="004E43EE" w:rsidRPr="00316C72" w:rsidRDefault="004E43EE" w:rsidP="004E43EE">
      <w:pPr>
        <w:spacing w:line="276" w:lineRule="auto"/>
        <w:rPr>
          <w:sz w:val="28"/>
          <w:szCs w:val="28"/>
        </w:rPr>
      </w:pPr>
    </w:p>
    <w:p w14:paraId="63401157" w14:textId="43782DB1" w:rsidR="004E43EE" w:rsidRPr="00316C72" w:rsidRDefault="004E43EE" w:rsidP="004E43EE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</w:t>
      </w:r>
      <w:r w:rsidR="00F14062">
        <w:rPr>
          <w:sz w:val="28"/>
          <w:szCs w:val="28"/>
        </w:rPr>
        <w:t xml:space="preserve">                            Л.И. Королева</w:t>
      </w:r>
    </w:p>
    <w:p w14:paraId="237A8BDD" w14:textId="531BFD17" w:rsidR="004E43EE" w:rsidRDefault="004E43EE">
      <w:r>
        <w:br w:type="page"/>
      </w:r>
    </w:p>
    <w:p w14:paraId="0331AACD" w14:textId="77777777" w:rsidR="004E43EE" w:rsidRDefault="004E43EE" w:rsidP="004E43EE">
      <w:pPr>
        <w:pStyle w:val="ConsPlusNormal"/>
        <w:tabs>
          <w:tab w:val="left" w:pos="4678"/>
        </w:tabs>
        <w:ind w:left="552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2372372B" w14:textId="77777777" w:rsidR="004E43EE" w:rsidRDefault="004E43EE" w:rsidP="004E43EE">
      <w:pPr>
        <w:pStyle w:val="ConsPlusNormal"/>
        <w:tabs>
          <w:tab w:val="left" w:pos="4678"/>
        </w:tabs>
        <w:ind w:left="552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территориальной избирательной комиссии</w:t>
      </w:r>
    </w:p>
    <w:p w14:paraId="6FBB250B" w14:textId="77777777" w:rsidR="004E43EE" w:rsidRDefault="004E43EE" w:rsidP="004E43EE">
      <w:pPr>
        <w:pStyle w:val="ConsPlusNormal"/>
        <w:tabs>
          <w:tab w:val="left" w:pos="4678"/>
        </w:tabs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Зареченского района города Тулы</w:t>
      </w:r>
    </w:p>
    <w:p w14:paraId="7988FF38" w14:textId="1AF0141F" w:rsidR="004E43EE" w:rsidRDefault="004E43EE" w:rsidP="004E43EE">
      <w:pPr>
        <w:pStyle w:val="ConsPlusNormal"/>
        <w:tabs>
          <w:tab w:val="left" w:pos="4678"/>
        </w:tabs>
        <w:ind w:left="5529"/>
        <w:rPr>
          <w:rFonts w:ascii="Times New Roman" w:hAnsi="Times New Roman" w:cs="Times New Roman"/>
          <w:sz w:val="24"/>
          <w:szCs w:val="24"/>
        </w:rPr>
      </w:pPr>
      <w:r w:rsidRPr="007065B4">
        <w:rPr>
          <w:rFonts w:ascii="Times New Roman" w:hAnsi="Times New Roman" w:cs="Times New Roman"/>
          <w:sz w:val="24"/>
          <w:szCs w:val="24"/>
        </w:rPr>
        <w:t xml:space="preserve">от </w:t>
      </w:r>
      <w:r w:rsidR="002D7DB3">
        <w:rPr>
          <w:rFonts w:ascii="Times New Roman" w:hAnsi="Times New Roman" w:cs="Times New Roman"/>
          <w:sz w:val="24"/>
          <w:szCs w:val="24"/>
        </w:rPr>
        <w:t>20</w:t>
      </w:r>
      <w:r w:rsidR="007065B4" w:rsidRPr="007065B4">
        <w:rPr>
          <w:rFonts w:ascii="Times New Roman" w:hAnsi="Times New Roman" w:cs="Times New Roman"/>
          <w:sz w:val="24"/>
          <w:szCs w:val="24"/>
        </w:rPr>
        <w:t xml:space="preserve"> июня</w:t>
      </w:r>
      <w:r w:rsidR="00F14062">
        <w:rPr>
          <w:rFonts w:ascii="Times New Roman" w:hAnsi="Times New Roman" w:cs="Times New Roman"/>
          <w:sz w:val="24"/>
          <w:szCs w:val="24"/>
        </w:rPr>
        <w:t xml:space="preserve"> 2024 года № 49</w:t>
      </w:r>
      <w:r w:rsidRPr="007065B4">
        <w:rPr>
          <w:rFonts w:ascii="Times New Roman" w:hAnsi="Times New Roman" w:cs="Times New Roman"/>
          <w:sz w:val="24"/>
          <w:szCs w:val="24"/>
        </w:rPr>
        <w:t>-</w:t>
      </w:r>
      <w:r w:rsidR="007065B4" w:rsidRPr="007065B4">
        <w:rPr>
          <w:rFonts w:ascii="Times New Roman" w:hAnsi="Times New Roman" w:cs="Times New Roman"/>
          <w:sz w:val="24"/>
          <w:szCs w:val="24"/>
        </w:rPr>
        <w:t>4</w:t>
      </w:r>
    </w:p>
    <w:p w14:paraId="24D1ECFF" w14:textId="247DB852" w:rsidR="004E43EE" w:rsidRDefault="004E43EE" w:rsidP="004E43EE">
      <w:pPr>
        <w:jc w:val="center"/>
      </w:pPr>
    </w:p>
    <w:p w14:paraId="0614F8C9" w14:textId="77777777" w:rsidR="004E43EE" w:rsidRDefault="004E43EE" w:rsidP="004E43EE">
      <w:pPr>
        <w:jc w:val="center"/>
      </w:pPr>
    </w:p>
    <w:p w14:paraId="0C0FCE0D" w14:textId="465BC87B" w:rsidR="004E43EE" w:rsidRPr="004E43EE" w:rsidRDefault="004E43EE" w:rsidP="004E43EE">
      <w:pPr>
        <w:jc w:val="center"/>
        <w:rPr>
          <w:b/>
          <w:bCs/>
          <w:sz w:val="28"/>
          <w:szCs w:val="28"/>
        </w:rPr>
      </w:pPr>
      <w:r w:rsidRPr="004E43EE">
        <w:rPr>
          <w:b/>
          <w:bCs/>
          <w:sz w:val="28"/>
          <w:szCs w:val="28"/>
        </w:rPr>
        <w:t>Сведения о предоставлении помещений, на</w:t>
      </w:r>
      <w:r w:rsidR="006A18E1">
        <w:rPr>
          <w:b/>
          <w:bCs/>
          <w:sz w:val="28"/>
          <w:szCs w:val="28"/>
        </w:rPr>
        <w:t>ходящихся в государственной  и</w:t>
      </w:r>
      <w:bookmarkStart w:id="0" w:name="_GoBack"/>
      <w:bookmarkEnd w:id="0"/>
      <w:r w:rsidRPr="004E43EE">
        <w:rPr>
          <w:b/>
          <w:bCs/>
          <w:sz w:val="28"/>
          <w:szCs w:val="28"/>
        </w:rPr>
        <w:t xml:space="preserve"> муниципальной собственности, для проведения агитационных публичных мероприятий зарегистрированным кандидатам, и</w:t>
      </w:r>
      <w:r>
        <w:rPr>
          <w:b/>
          <w:bCs/>
          <w:sz w:val="28"/>
          <w:szCs w:val="28"/>
        </w:rPr>
        <w:t xml:space="preserve">х </w:t>
      </w:r>
      <w:r w:rsidRPr="004E43EE">
        <w:rPr>
          <w:b/>
          <w:bCs/>
          <w:sz w:val="28"/>
          <w:szCs w:val="28"/>
        </w:rPr>
        <w:t>доверенным л</w:t>
      </w:r>
      <w:r w:rsidR="002D7DB3">
        <w:rPr>
          <w:b/>
          <w:bCs/>
          <w:sz w:val="28"/>
          <w:szCs w:val="28"/>
        </w:rPr>
        <w:t>ицам,  политическим партиям</w:t>
      </w:r>
      <w:r w:rsidRPr="004E43EE">
        <w:rPr>
          <w:b/>
          <w:bCs/>
          <w:sz w:val="28"/>
          <w:szCs w:val="28"/>
        </w:rPr>
        <w:t>, зарегистрировавшим список кандидатов, для доведения до сведения других зарегистрированных канди</w:t>
      </w:r>
      <w:r w:rsidR="002D7DB3">
        <w:rPr>
          <w:b/>
          <w:bCs/>
          <w:sz w:val="28"/>
          <w:szCs w:val="28"/>
        </w:rPr>
        <w:t>датов, политических партий</w:t>
      </w:r>
    </w:p>
    <w:p w14:paraId="55607FCB" w14:textId="77777777" w:rsidR="004E43EE" w:rsidRDefault="004E43EE" w:rsidP="004E43EE">
      <w:pPr>
        <w:jc w:val="center"/>
      </w:pPr>
    </w:p>
    <w:p w14:paraId="72137BFD" w14:textId="77777777" w:rsidR="004E43EE" w:rsidRDefault="004E43EE" w:rsidP="004E43EE">
      <w:pPr>
        <w:jc w:val="center"/>
      </w:pPr>
    </w:p>
    <w:tbl>
      <w:tblPr>
        <w:tblStyle w:val="a6"/>
        <w:tblW w:w="10632" w:type="dxa"/>
        <w:tblInd w:w="-998" w:type="dxa"/>
        <w:tblLook w:val="04A0" w:firstRow="1" w:lastRow="0" w:firstColumn="1" w:lastColumn="0" w:noHBand="0" w:noVBand="1"/>
      </w:tblPr>
      <w:tblGrid>
        <w:gridCol w:w="1525"/>
        <w:gridCol w:w="1531"/>
        <w:gridCol w:w="1568"/>
        <w:gridCol w:w="1602"/>
        <w:gridCol w:w="1188"/>
        <w:gridCol w:w="1601"/>
        <w:gridCol w:w="1617"/>
      </w:tblGrid>
      <w:tr w:rsidR="004E43EE" w14:paraId="7C1B9B75" w14:textId="77777777" w:rsidTr="004E43EE">
        <w:trPr>
          <w:cantSplit/>
          <w:trHeight w:val="1383"/>
        </w:trPr>
        <w:tc>
          <w:tcPr>
            <w:tcW w:w="1419" w:type="dxa"/>
          </w:tcPr>
          <w:p w14:paraId="708892AA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Наименование организации, представившей уведомление</w:t>
            </w:r>
          </w:p>
        </w:tc>
        <w:tc>
          <w:tcPr>
            <w:tcW w:w="1559" w:type="dxa"/>
          </w:tcPr>
          <w:p w14:paraId="426F8A67" w14:textId="5B590D6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Адрес контакты организации, представившей уведомление</w:t>
            </w:r>
          </w:p>
        </w:tc>
        <w:tc>
          <w:tcPr>
            <w:tcW w:w="1134" w:type="dxa"/>
          </w:tcPr>
          <w:p w14:paraId="4C1D7AFE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Дата и время предоставления помещения</w:t>
            </w:r>
          </w:p>
        </w:tc>
        <w:tc>
          <w:tcPr>
            <w:tcW w:w="1816" w:type="dxa"/>
          </w:tcPr>
          <w:p w14:paraId="2204397E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Фамилия, имя, отчество кандидата, наименование избирательного объединения</w:t>
            </w:r>
          </w:p>
        </w:tc>
        <w:tc>
          <w:tcPr>
            <w:tcW w:w="1110" w:type="dxa"/>
          </w:tcPr>
          <w:p w14:paraId="171E5ABC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Адрес, площадь помещения</w:t>
            </w:r>
          </w:p>
        </w:tc>
        <w:tc>
          <w:tcPr>
            <w:tcW w:w="1752" w:type="dxa"/>
          </w:tcPr>
          <w:p w14:paraId="028BAE79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Условия предоставления помещения (безвозмездно, за плату)</w:t>
            </w:r>
          </w:p>
        </w:tc>
        <w:tc>
          <w:tcPr>
            <w:tcW w:w="1842" w:type="dxa"/>
          </w:tcPr>
          <w:p w14:paraId="43B11912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Дата и время последующего предоставления помещения</w:t>
            </w:r>
          </w:p>
        </w:tc>
      </w:tr>
      <w:tr w:rsidR="004E43EE" w14:paraId="27DACD3A" w14:textId="77777777" w:rsidTr="004E43EE">
        <w:trPr>
          <w:trHeight w:val="1913"/>
        </w:trPr>
        <w:tc>
          <w:tcPr>
            <w:tcW w:w="1419" w:type="dxa"/>
          </w:tcPr>
          <w:p w14:paraId="4A27D921" w14:textId="77777777" w:rsidR="004E43EE" w:rsidRDefault="004E43EE" w:rsidP="00B76F64">
            <w:pPr>
              <w:jc w:val="center"/>
            </w:pPr>
          </w:p>
        </w:tc>
        <w:tc>
          <w:tcPr>
            <w:tcW w:w="1559" w:type="dxa"/>
          </w:tcPr>
          <w:p w14:paraId="75C1AA1E" w14:textId="77777777" w:rsidR="004E43EE" w:rsidRDefault="004E43EE" w:rsidP="00B76F64">
            <w:pPr>
              <w:jc w:val="center"/>
            </w:pPr>
          </w:p>
        </w:tc>
        <w:tc>
          <w:tcPr>
            <w:tcW w:w="1134" w:type="dxa"/>
          </w:tcPr>
          <w:p w14:paraId="21A826A7" w14:textId="77777777" w:rsidR="004E43EE" w:rsidRDefault="004E43EE" w:rsidP="00B76F64">
            <w:pPr>
              <w:jc w:val="center"/>
            </w:pPr>
          </w:p>
        </w:tc>
        <w:tc>
          <w:tcPr>
            <w:tcW w:w="1816" w:type="dxa"/>
          </w:tcPr>
          <w:p w14:paraId="4ADFA1EB" w14:textId="77777777" w:rsidR="004E43EE" w:rsidRDefault="004E43EE" w:rsidP="00B76F64">
            <w:pPr>
              <w:jc w:val="center"/>
            </w:pPr>
          </w:p>
        </w:tc>
        <w:tc>
          <w:tcPr>
            <w:tcW w:w="1110" w:type="dxa"/>
          </w:tcPr>
          <w:p w14:paraId="005398A1" w14:textId="77777777" w:rsidR="004E43EE" w:rsidRDefault="004E43EE" w:rsidP="00B76F64">
            <w:pPr>
              <w:jc w:val="center"/>
            </w:pPr>
          </w:p>
        </w:tc>
        <w:tc>
          <w:tcPr>
            <w:tcW w:w="1752" w:type="dxa"/>
          </w:tcPr>
          <w:p w14:paraId="22130D51" w14:textId="77777777" w:rsidR="004E43EE" w:rsidRDefault="004E43EE" w:rsidP="00B76F64">
            <w:pPr>
              <w:jc w:val="center"/>
            </w:pPr>
          </w:p>
        </w:tc>
        <w:tc>
          <w:tcPr>
            <w:tcW w:w="1842" w:type="dxa"/>
          </w:tcPr>
          <w:p w14:paraId="4FF29213" w14:textId="77777777" w:rsidR="004E43EE" w:rsidRDefault="004E43EE" w:rsidP="00B76F64">
            <w:pPr>
              <w:jc w:val="center"/>
            </w:pPr>
          </w:p>
        </w:tc>
      </w:tr>
    </w:tbl>
    <w:p w14:paraId="0FFFFA3F" w14:textId="77777777" w:rsidR="004E43EE" w:rsidRDefault="004E43EE" w:rsidP="004E43EE">
      <w:pPr>
        <w:jc w:val="center"/>
      </w:pPr>
    </w:p>
    <w:p w14:paraId="6A3003FF" w14:textId="77777777" w:rsidR="004E43EE" w:rsidRDefault="004E43EE" w:rsidP="004E43EE"/>
    <w:p w14:paraId="73C94959" w14:textId="77777777" w:rsidR="003F35F2" w:rsidRDefault="003F35F2"/>
    <w:sectPr w:rsidR="003F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A4F"/>
    <w:multiLevelType w:val="hybridMultilevel"/>
    <w:tmpl w:val="FF5C0BCA"/>
    <w:lvl w:ilvl="0" w:tplc="2F44B93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A7"/>
    <w:rsid w:val="002D7DB3"/>
    <w:rsid w:val="003F35F2"/>
    <w:rsid w:val="004E43EE"/>
    <w:rsid w:val="005453A7"/>
    <w:rsid w:val="006235C0"/>
    <w:rsid w:val="006615E0"/>
    <w:rsid w:val="006A18E1"/>
    <w:rsid w:val="007065B4"/>
    <w:rsid w:val="007B12BC"/>
    <w:rsid w:val="00B7169E"/>
    <w:rsid w:val="00C54BFF"/>
    <w:rsid w:val="00DE14D8"/>
    <w:rsid w:val="00E0254E"/>
    <w:rsid w:val="00E17B56"/>
    <w:rsid w:val="00F1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8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3E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3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E4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4E43E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43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4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65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65B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2D7D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3E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3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E4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4E43E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43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4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65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65B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2D7D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Ишутин</dc:creator>
  <cp:keywords/>
  <dc:description/>
  <cp:lastModifiedBy>Председатель</cp:lastModifiedBy>
  <cp:revision>20</cp:revision>
  <cp:lastPrinted>2024-06-27T07:12:00Z</cp:lastPrinted>
  <dcterms:created xsi:type="dcterms:W3CDTF">2019-07-05T08:43:00Z</dcterms:created>
  <dcterms:modified xsi:type="dcterms:W3CDTF">2024-06-27T07:13:00Z</dcterms:modified>
</cp:coreProperties>
</file>